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Style w:val="7"/>
          <w:rFonts w:ascii="宋体" w:hAnsi="宋体" w:cs="宋体"/>
          <w:b w:val="0"/>
          <w:bCs w:val="0"/>
          <w:color w:val="000000"/>
          <w:sz w:val="56"/>
          <w:szCs w:val="56"/>
        </w:rPr>
      </w:pPr>
    </w:p>
    <w:p>
      <w:pPr>
        <w:adjustRightInd w:val="0"/>
        <w:snapToGrid w:val="0"/>
        <w:jc w:val="center"/>
        <w:rPr>
          <w:rStyle w:val="7"/>
          <w:rFonts w:ascii="宋体" w:hAnsi="宋体" w:cs="宋体"/>
          <w:b w:val="0"/>
          <w:bCs w:val="0"/>
          <w:color w:val="000000"/>
          <w:sz w:val="56"/>
          <w:szCs w:val="56"/>
        </w:rPr>
      </w:pPr>
    </w:p>
    <w:p>
      <w:pPr>
        <w:adjustRightInd w:val="0"/>
        <w:snapToGrid w:val="0"/>
        <w:jc w:val="center"/>
        <w:rPr>
          <w:rStyle w:val="7"/>
          <w:rFonts w:ascii="宋体" w:hAnsi="宋体" w:cs="宋体"/>
          <w:b w:val="0"/>
          <w:bCs w:val="0"/>
          <w:color w:val="000000"/>
          <w:sz w:val="84"/>
          <w:szCs w:val="84"/>
        </w:rPr>
      </w:pPr>
    </w:p>
    <w:p>
      <w:pPr>
        <w:adjustRightInd w:val="0"/>
        <w:snapToGrid w:val="0"/>
        <w:jc w:val="center"/>
        <w:rPr>
          <w:rStyle w:val="7"/>
          <w:rFonts w:ascii="宋体" w:hAnsi="宋体" w:cs="宋体"/>
          <w:b w:val="0"/>
          <w:bCs w:val="0"/>
          <w:color w:val="000000"/>
          <w:sz w:val="72"/>
          <w:szCs w:val="72"/>
        </w:rPr>
      </w:pPr>
    </w:p>
    <w:p>
      <w:pPr>
        <w:adjustRightInd w:val="0"/>
        <w:snapToGrid w:val="0"/>
        <w:jc w:val="center"/>
        <w:rPr>
          <w:rStyle w:val="7"/>
          <w:rFonts w:ascii="宋体" w:hAnsi="宋体" w:cs="宋体"/>
          <w:b w:val="0"/>
          <w:bCs w:val="0"/>
          <w:color w:val="000000"/>
          <w:sz w:val="56"/>
          <w:szCs w:val="56"/>
        </w:rPr>
      </w:pPr>
      <w:r>
        <w:rPr>
          <w:rStyle w:val="7"/>
          <w:rFonts w:hint="eastAsia" w:ascii="宋体" w:hAnsi="宋体" w:cs="宋体"/>
          <w:b w:val="0"/>
          <w:bCs w:val="0"/>
          <w:color w:val="000000"/>
          <w:sz w:val="56"/>
          <w:szCs w:val="56"/>
        </w:rPr>
        <w:t>内蒙古广播电视大学</w:t>
      </w:r>
    </w:p>
    <w:p>
      <w:pPr>
        <w:adjustRightInd w:val="0"/>
        <w:snapToGrid w:val="0"/>
        <w:jc w:val="center"/>
        <w:rPr>
          <w:rStyle w:val="7"/>
          <w:rFonts w:ascii="宋体" w:hAnsi="宋体" w:cs="宋体"/>
          <w:b w:val="0"/>
          <w:bCs w:val="0"/>
          <w:color w:val="000000"/>
          <w:sz w:val="56"/>
          <w:szCs w:val="56"/>
        </w:rPr>
      </w:pPr>
    </w:p>
    <w:p>
      <w:pPr>
        <w:adjustRightInd w:val="0"/>
        <w:snapToGrid w:val="0"/>
        <w:jc w:val="center"/>
        <w:rPr>
          <w:rStyle w:val="7"/>
          <w:rFonts w:ascii="宋体" w:hAnsi="宋体" w:cs="宋体"/>
          <w:b w:val="0"/>
          <w:bCs w:val="0"/>
          <w:color w:val="000000"/>
          <w:sz w:val="56"/>
          <w:szCs w:val="56"/>
        </w:rPr>
      </w:pPr>
      <w:r>
        <w:rPr>
          <w:rStyle w:val="7"/>
          <w:rFonts w:hint="eastAsia" w:ascii="宋体" w:hAnsi="宋体" w:cs="宋体"/>
          <w:b w:val="0"/>
          <w:bCs w:val="0"/>
          <w:color w:val="000000"/>
          <w:sz w:val="56"/>
          <w:szCs w:val="56"/>
        </w:rPr>
        <w:t>2020年部门预算公开报告</w:t>
      </w:r>
    </w:p>
    <w:p>
      <w:pPr>
        <w:adjustRightInd w:val="0"/>
        <w:snapToGrid w:val="0"/>
        <w:jc w:val="center"/>
        <w:rPr>
          <w:rStyle w:val="7"/>
          <w:rFonts w:ascii="微软雅黑" w:hAnsi="微软雅黑" w:eastAsia="微软雅黑" w:cs="宋体"/>
          <w:b w:val="0"/>
          <w:bCs w:val="0"/>
          <w:color w:val="000000"/>
          <w:sz w:val="72"/>
          <w:szCs w:val="72"/>
        </w:rPr>
      </w:pPr>
    </w:p>
    <w:p>
      <w:pPr>
        <w:adjustRightInd w:val="0"/>
        <w:snapToGrid w:val="0"/>
        <w:jc w:val="center"/>
        <w:rPr>
          <w:rStyle w:val="7"/>
          <w:rFonts w:ascii="微软雅黑" w:hAnsi="微软雅黑" w:eastAsia="微软雅黑" w:cs="宋体"/>
          <w:b w:val="0"/>
          <w:bCs w:val="0"/>
          <w:color w:val="000000"/>
          <w:sz w:val="72"/>
          <w:szCs w:val="72"/>
        </w:rPr>
      </w:pPr>
    </w:p>
    <w:p>
      <w:pPr>
        <w:adjustRightInd w:val="0"/>
        <w:snapToGrid w:val="0"/>
        <w:jc w:val="center"/>
        <w:rPr>
          <w:rStyle w:val="7"/>
          <w:rFonts w:ascii="微软雅黑" w:hAnsi="微软雅黑" w:eastAsia="微软雅黑" w:cs="宋体"/>
          <w:b w:val="0"/>
          <w:bCs w:val="0"/>
          <w:color w:val="000000"/>
          <w:sz w:val="72"/>
          <w:szCs w:val="72"/>
        </w:rPr>
      </w:pPr>
    </w:p>
    <w:p>
      <w:pPr>
        <w:adjustRightInd w:val="0"/>
        <w:snapToGrid w:val="0"/>
        <w:jc w:val="center"/>
        <w:rPr>
          <w:rStyle w:val="7"/>
          <w:rFonts w:ascii="微软雅黑" w:hAnsi="微软雅黑" w:eastAsia="微软雅黑" w:cs="宋体"/>
          <w:b w:val="0"/>
          <w:bCs w:val="0"/>
          <w:color w:val="000000"/>
          <w:sz w:val="72"/>
          <w:szCs w:val="72"/>
        </w:rPr>
      </w:pPr>
    </w:p>
    <w:p>
      <w:pPr>
        <w:adjustRightInd w:val="0"/>
        <w:snapToGrid w:val="0"/>
        <w:jc w:val="center"/>
        <w:rPr>
          <w:rStyle w:val="7"/>
          <w:rFonts w:ascii="宋体" w:hAnsi="宋体" w:cs="宋体"/>
          <w:b w:val="0"/>
          <w:bCs w:val="0"/>
          <w:color w:val="000000"/>
          <w:sz w:val="72"/>
          <w:szCs w:val="72"/>
        </w:rPr>
      </w:pPr>
    </w:p>
    <w:p>
      <w:pPr>
        <w:adjustRightInd w:val="0"/>
        <w:snapToGrid w:val="0"/>
        <w:jc w:val="center"/>
        <w:rPr>
          <w:rStyle w:val="7"/>
          <w:rFonts w:ascii="微软雅黑" w:hAnsi="微软雅黑" w:eastAsia="微软雅黑" w:cs="宋体"/>
          <w:color w:val="000000"/>
          <w:sz w:val="30"/>
          <w:szCs w:val="30"/>
        </w:rPr>
      </w:pPr>
      <w:r>
        <w:rPr>
          <w:rStyle w:val="7"/>
          <w:rFonts w:hint="eastAsia" w:ascii="宋体" w:hAnsi="宋体" w:cs="宋体"/>
          <w:b w:val="0"/>
          <w:bCs w:val="0"/>
          <w:color w:val="000000"/>
          <w:sz w:val="52"/>
          <w:szCs w:val="52"/>
        </w:rPr>
        <w:t>2020年2月5日</w:t>
      </w:r>
      <w:r>
        <w:rPr>
          <w:rStyle w:val="7"/>
          <w:rFonts w:hint="eastAsia" w:ascii="微软雅黑" w:hAnsi="微软雅黑" w:eastAsia="微软雅黑" w:cs="宋体"/>
          <w:color w:val="000000"/>
          <w:sz w:val="30"/>
          <w:szCs w:val="30"/>
        </w:rPr>
        <w:br w:type="page"/>
      </w:r>
      <w:r>
        <w:rPr>
          <w:rStyle w:val="7"/>
          <w:rFonts w:hint="eastAsia" w:ascii="微软雅黑" w:hAnsi="微软雅黑" w:eastAsia="微软雅黑" w:cs="宋体"/>
          <w:color w:val="000000"/>
          <w:sz w:val="36"/>
          <w:szCs w:val="30"/>
        </w:rPr>
        <w:t>目    录</w:t>
      </w:r>
    </w:p>
    <w:p>
      <w:pPr>
        <w:adjustRightInd w:val="0"/>
        <w:snapToGrid w:val="0"/>
        <w:spacing w:line="560" w:lineRule="exact"/>
        <w:jc w:val="center"/>
        <w:rPr>
          <w:rStyle w:val="7"/>
          <w:rFonts w:ascii="微软雅黑" w:hAnsi="微软雅黑" w:eastAsia="微软雅黑" w:cs="宋体"/>
          <w:color w:val="000000"/>
          <w:sz w:val="30"/>
          <w:szCs w:val="30"/>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2020年部门预算安排情况说明</w:t>
      </w:r>
    </w:p>
    <w:p>
      <w:pPr>
        <w:numPr>
          <w:ilvl w:val="0"/>
          <w:numId w:val="1"/>
        </w:num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部门预算收支总体情况</w:t>
      </w:r>
    </w:p>
    <w:p>
      <w:pPr>
        <w:numPr>
          <w:ilvl w:val="0"/>
          <w:numId w:val="1"/>
        </w:num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一般公共预算财政拨款收支情况说明</w:t>
      </w:r>
    </w:p>
    <w:p>
      <w:pPr>
        <w:numPr>
          <w:ilvl w:val="0"/>
          <w:numId w:val="1"/>
        </w:num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二、绩效目标设置情况</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hint="default" w:ascii="微软雅黑" w:hAnsi="微软雅黑" w:eastAsia="楷体_GB2312"/>
          <w:color w:val="000000"/>
          <w:sz w:val="23"/>
          <w:szCs w:val="23"/>
          <w:lang w:val="en-US" w:eastAsia="zh-CN"/>
        </w:rPr>
      </w:pPr>
      <w:r>
        <w:rPr>
          <w:rFonts w:hint="eastAsia" w:ascii="楷体_GB2312" w:hAnsi="黑体" w:eastAsia="楷体_GB2312"/>
          <w:b/>
          <w:color w:val="000000"/>
          <w:sz w:val="32"/>
          <w:szCs w:val="32"/>
        </w:rPr>
        <w:t xml:space="preserve">第五部分  </w:t>
      </w:r>
      <w:r>
        <w:rPr>
          <w:rFonts w:hint="eastAsia" w:ascii="楷体_GB2312" w:hAnsi="黑体" w:eastAsia="楷体_GB2312"/>
          <w:b/>
          <w:color w:val="000000"/>
          <w:sz w:val="32"/>
          <w:szCs w:val="32"/>
          <w:lang w:val="en-US" w:eastAsia="zh-CN"/>
        </w:rPr>
        <w:t>预算公开联系方式及信息反馈渠道</w:t>
      </w:r>
    </w:p>
    <w:p>
      <w:pPr>
        <w:adjustRightInd w:val="0"/>
        <w:snapToGrid w:val="0"/>
        <w:spacing w:line="560" w:lineRule="exact"/>
        <w:rPr>
          <w:rFonts w:ascii="楷体_GB2312" w:hAnsi="黑体" w:eastAsia="楷体_GB2312"/>
          <w:b/>
          <w:color w:val="000000"/>
          <w:sz w:val="32"/>
          <w:szCs w:val="32"/>
        </w:rPr>
      </w:pPr>
    </w:p>
    <w:p>
      <w:pPr>
        <w:pStyle w:val="4"/>
        <w:spacing w:line="720" w:lineRule="atLeast"/>
        <w:jc w:val="center"/>
        <w:rPr>
          <w:rStyle w:val="7"/>
          <w:rFonts w:ascii="微软雅黑" w:hAnsi="微软雅黑" w:eastAsia="微软雅黑" w:cs="宋体"/>
          <w:color w:val="000000"/>
          <w:sz w:val="27"/>
          <w:szCs w:val="27"/>
        </w:rPr>
      </w:pPr>
      <w:r>
        <w:rPr>
          <w:rStyle w:val="7"/>
          <w:rFonts w:hint="eastAsia" w:ascii="微软雅黑" w:hAnsi="微软雅黑" w:eastAsia="微软雅黑" w:cs="宋体"/>
          <w:color w:val="000000"/>
          <w:sz w:val="27"/>
          <w:szCs w:val="27"/>
        </w:rPr>
        <w:br w:type="page"/>
      </w:r>
      <w:r>
        <w:rPr>
          <w:rStyle w:val="7"/>
          <w:rFonts w:hint="eastAsia" w:ascii="微软雅黑" w:hAnsi="微软雅黑" w:eastAsia="微软雅黑" w:cs="宋体"/>
          <w:color w:val="000000"/>
          <w:sz w:val="30"/>
          <w:szCs w:val="30"/>
        </w:rPr>
        <w:t>一、部门概况</w:t>
      </w:r>
    </w:p>
    <w:p>
      <w:pPr>
        <w:pStyle w:val="4"/>
        <w:spacing w:line="720" w:lineRule="atLeast"/>
        <w:ind w:firstLine="613" w:firstLineChars="227"/>
        <w:rPr>
          <w:rFonts w:ascii="微软雅黑" w:hAnsi="微软雅黑" w:eastAsia="微软雅黑"/>
          <w:color w:val="000000"/>
          <w:sz w:val="23"/>
          <w:szCs w:val="23"/>
        </w:rPr>
      </w:pPr>
      <w:r>
        <w:rPr>
          <w:rStyle w:val="7"/>
          <w:rFonts w:hint="eastAsia" w:ascii="微软雅黑" w:hAnsi="微软雅黑" w:eastAsia="微软雅黑" w:cs="宋体"/>
          <w:color w:val="000000"/>
          <w:sz w:val="27"/>
          <w:szCs w:val="27"/>
        </w:rPr>
        <w:t>（一）主要职能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内蒙古广播电视大学是面向全区开展现代远程开放教育的自治区直属高等学校，在全区设立了</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所盟市级电大、</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所行业电大、</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多所旗县级电大，组成了遍布全区城乡的远程教育办学体系，以全民教育、终身教育和建立学习型社会为己任，办学类型众多。</w:t>
      </w:r>
      <w:r>
        <w:rPr>
          <w:rFonts w:ascii="仿宋_GB2312" w:hAnsi="仿宋_GB2312" w:eastAsia="仿宋_GB2312" w:cs="仿宋_GB2312"/>
          <w:sz w:val="30"/>
          <w:szCs w:val="30"/>
        </w:rPr>
        <w:t>2008</w:t>
      </w:r>
      <w:r>
        <w:rPr>
          <w:rFonts w:hint="eastAsia" w:ascii="仿宋_GB2312" w:hAnsi="仿宋_GB2312" w:eastAsia="仿宋_GB2312" w:cs="仿宋_GB2312"/>
          <w:sz w:val="30"/>
          <w:szCs w:val="30"/>
        </w:rPr>
        <w:t>年至今，经批准先后加挂内蒙古现代远程开放教育中心、内蒙古城乡社区大学、内蒙古老年开放大学的牌子，依托广播电视大学教学系统、网络平台、教学资源、师资力量等优势，开展全区现代远程开放教育、城乡社区教育、老年教育等，积极参与自治区终身教育体系和学习型社会建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（一）内蒙古广播电视大学主要职责是：</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通过广播、电视、网络等现代远程教育技术为社会成员提供高等学历教育、中专学历教育等各类学历、非学历远程教育项目以及行业和岗位技能培训、现代远程教育技术开发、教育科研与培训服务等。</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内蒙古自治区经济发展和社会需求，确定内蒙古广播电视大学发展方向和目标任务，制定内蒙古广播电视大学发展规划。大力发展非学历继续教育，稳步发展学历继续教育，全面贯彻落实中央和自治区深化教育改革的战略部署，积极开展社区教育、老年教育、特殊教育、民族远程教育等工作，推进现代科技与教育的深度融合，搭建终身学习“立交桥”。</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负责全区广播电视大学系统建设，在教学管理上依托覆盖全区城乡的远程开放教育系统，实行统筹规划、分级办学、分级管理。</w:t>
      </w:r>
    </w:p>
    <w:p>
      <w:pPr>
        <w:pStyle w:val="4"/>
        <w:spacing w:line="720" w:lineRule="atLeast"/>
        <w:ind w:firstLine="613" w:firstLineChars="227"/>
        <w:rPr>
          <w:rFonts w:ascii="微软雅黑" w:hAnsi="微软雅黑" w:eastAsia="微软雅黑"/>
          <w:color w:val="000000"/>
          <w:sz w:val="23"/>
          <w:szCs w:val="23"/>
        </w:rPr>
      </w:pPr>
      <w:r>
        <w:rPr>
          <w:rStyle w:val="7"/>
          <w:rFonts w:hint="eastAsia" w:ascii="微软雅黑" w:hAnsi="微软雅黑" w:eastAsia="微软雅黑" w:cs="宋体"/>
          <w:color w:val="000000"/>
          <w:sz w:val="27"/>
          <w:szCs w:val="27"/>
        </w:rPr>
        <w:t>（二）机构设置及单位构成情况</w:t>
      </w:r>
    </w:p>
    <w:p>
      <w:pPr>
        <w:ind w:firstLine="750" w:firstLineChars="250"/>
        <w:rPr>
          <w:color w:val="606060"/>
          <w:sz w:val="27"/>
          <w:szCs w:val="27"/>
        </w:rPr>
      </w:pPr>
      <w:r>
        <w:rPr>
          <w:rFonts w:hint="eastAsia" w:ascii="仿宋_GB2312" w:hAnsi="仿宋_GB2312" w:eastAsia="仿宋_GB2312" w:cs="仿宋_GB2312"/>
          <w:sz w:val="30"/>
          <w:szCs w:val="30"/>
        </w:rPr>
        <w:t>根据自治区编办批复，内蒙古广播电视大学是自治区直属高等院校，共设有</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5个职能部门，</w:t>
      </w:r>
      <w:r>
        <w:rPr>
          <w:rFonts w:ascii="仿宋_GB2312" w:hAnsi="仿宋_GB2312" w:eastAsia="仿宋_GB2312" w:cs="仿宋_GB2312"/>
          <w:sz w:val="30"/>
          <w:szCs w:val="30"/>
        </w:rPr>
        <w:t>2019</w:t>
      </w:r>
      <w:r>
        <w:rPr>
          <w:rFonts w:hint="eastAsia" w:ascii="仿宋_GB2312" w:hAnsi="仿宋_GB2312" w:eastAsia="仿宋_GB2312" w:cs="仿宋_GB2312"/>
          <w:sz w:val="30"/>
          <w:szCs w:val="30"/>
        </w:rPr>
        <w:t>年，自治区编办核定我校事业编制共</w:t>
      </w:r>
      <w:r>
        <w:rPr>
          <w:rFonts w:ascii="仿宋_GB2312" w:hAnsi="仿宋_GB2312" w:eastAsia="仿宋_GB2312" w:cs="仿宋_GB2312"/>
          <w:sz w:val="30"/>
          <w:szCs w:val="30"/>
        </w:rPr>
        <w:t>300</w:t>
      </w:r>
      <w:r>
        <w:rPr>
          <w:rFonts w:hint="eastAsia" w:ascii="仿宋_GB2312" w:hAnsi="仿宋_GB2312" w:eastAsia="仿宋_GB2312" w:cs="仿宋_GB2312"/>
          <w:sz w:val="30"/>
          <w:szCs w:val="30"/>
        </w:rPr>
        <w:t>人，截至</w:t>
      </w:r>
      <w:r>
        <w:rPr>
          <w:rFonts w:ascii="仿宋_GB2312" w:hAnsi="仿宋_GB2312" w:eastAsia="仿宋_GB2312" w:cs="仿宋_GB2312"/>
          <w:sz w:val="30"/>
          <w:szCs w:val="30"/>
        </w:rPr>
        <w:t>2019</w:t>
      </w:r>
      <w:r>
        <w:rPr>
          <w:rFonts w:hint="eastAsia" w:ascii="仿宋_GB2312" w:hAnsi="仿宋_GB2312" w:eastAsia="仿宋_GB2312" w:cs="仿宋_GB2312"/>
          <w:sz w:val="30"/>
          <w:szCs w:val="30"/>
        </w:rPr>
        <w:t>年底，事业编制在职</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42人，2020年拟新进在职职工17人。</w:t>
      </w:r>
    </w:p>
    <w:p>
      <w:pPr>
        <w:ind w:firstLine="540" w:firstLineChars="200"/>
        <w:rPr>
          <w:color w:val="606060"/>
          <w:sz w:val="27"/>
          <w:szCs w:val="27"/>
        </w:rPr>
      </w:pPr>
    </w:p>
    <w:p>
      <w:pPr>
        <w:pStyle w:val="4"/>
        <w:spacing w:line="720" w:lineRule="atLeast"/>
        <w:ind w:firstLine="480"/>
        <w:jc w:val="center"/>
        <w:rPr>
          <w:rFonts w:ascii="微软雅黑" w:hAnsi="微软雅黑" w:eastAsia="微软雅黑"/>
          <w:color w:val="000000"/>
          <w:sz w:val="23"/>
          <w:szCs w:val="23"/>
        </w:rPr>
      </w:pPr>
      <w:r>
        <w:rPr>
          <w:rStyle w:val="7"/>
          <w:rFonts w:hint="eastAsia" w:ascii="微软雅黑" w:hAnsi="微软雅黑" w:eastAsia="微软雅黑" w:cs="宋体"/>
          <w:color w:val="000000"/>
          <w:sz w:val="30"/>
          <w:szCs w:val="30"/>
        </w:rPr>
        <w:t>二、</w:t>
      </w:r>
      <w:r>
        <w:rPr>
          <w:rStyle w:val="7"/>
          <w:rFonts w:ascii="微软雅黑" w:hAnsi="微软雅黑" w:eastAsia="微软雅黑" w:cs="宋体"/>
          <w:color w:val="000000"/>
          <w:sz w:val="30"/>
          <w:szCs w:val="30"/>
        </w:rPr>
        <w:t>2020</w:t>
      </w:r>
      <w:r>
        <w:rPr>
          <w:rStyle w:val="7"/>
          <w:rFonts w:hint="eastAsia" w:ascii="微软雅黑" w:hAnsi="微软雅黑" w:eastAsia="微软雅黑" w:cs="宋体"/>
          <w:color w:val="000000"/>
          <w:sz w:val="30"/>
          <w:szCs w:val="30"/>
        </w:rPr>
        <w:t>年部门预算安排情况说明</w:t>
      </w:r>
    </w:p>
    <w:p>
      <w:pPr>
        <w:pStyle w:val="4"/>
        <w:spacing w:line="720" w:lineRule="atLeast"/>
        <w:ind w:firstLine="613" w:firstLineChars="227"/>
        <w:rPr>
          <w:rFonts w:ascii="微软雅黑" w:hAnsi="微软雅黑" w:eastAsia="微软雅黑"/>
          <w:color w:val="000000"/>
          <w:sz w:val="23"/>
          <w:szCs w:val="23"/>
        </w:rPr>
      </w:pPr>
      <w:r>
        <w:rPr>
          <w:rStyle w:val="7"/>
          <w:rFonts w:hint="eastAsia" w:ascii="微软雅黑" w:hAnsi="微软雅黑" w:eastAsia="微软雅黑" w:cs="宋体"/>
          <w:color w:val="000000"/>
          <w:sz w:val="27"/>
          <w:szCs w:val="27"/>
        </w:rPr>
        <w:t>（一）部门预算收支总体情况说明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年内蒙古广播电视大学本年部门收入与上年结转预算数合计为</w:t>
      </w:r>
      <w:r>
        <w:rPr>
          <w:rFonts w:hint="eastAsia" w:ascii="仿宋_GB2312" w:hAnsi="仿宋_GB2312" w:eastAsia="仿宋_GB2312" w:cs="仿宋_GB2312"/>
          <w:sz w:val="30"/>
          <w:szCs w:val="30"/>
        </w:rPr>
        <w:t>13276.82</w:t>
      </w:r>
      <w:r>
        <w:rPr>
          <w:rFonts w:hint="eastAsia" w:ascii="仿宋_GB2312" w:hAnsi="仿宋_GB2312" w:eastAsia="仿宋_GB2312" w:cs="仿宋_GB2312"/>
          <w:kern w:val="2"/>
          <w:sz w:val="30"/>
          <w:szCs w:val="30"/>
        </w:rPr>
        <w:t>万元，比</w:t>
      </w: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年预算增加</w:t>
      </w:r>
      <w:r>
        <w:rPr>
          <w:rFonts w:hint="eastAsia" w:ascii="仿宋_GB2312" w:hAnsi="仿宋_GB2312" w:eastAsia="仿宋_GB2312" w:cs="仿宋_GB2312"/>
          <w:sz w:val="30"/>
          <w:szCs w:val="30"/>
        </w:rPr>
        <w:t>1845.00万元，增幅为16.14%</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年内蒙古广播电视大学部门支出预算</w:t>
      </w:r>
      <w:r>
        <w:rPr>
          <w:rFonts w:hint="eastAsia" w:ascii="仿宋_GB2312" w:hAnsi="仿宋_GB2312" w:eastAsia="仿宋_GB2312" w:cs="仿宋_GB2312"/>
          <w:sz w:val="30"/>
          <w:szCs w:val="30"/>
        </w:rPr>
        <w:t>13276.82</w:t>
      </w:r>
      <w:r>
        <w:rPr>
          <w:rFonts w:hint="eastAsia" w:ascii="仿宋_GB2312" w:hAnsi="仿宋_GB2312" w:eastAsia="仿宋_GB2312" w:cs="仿宋_GB2312"/>
          <w:kern w:val="2"/>
          <w:sz w:val="30"/>
          <w:szCs w:val="30"/>
        </w:rPr>
        <w:t>万元，比</w:t>
      </w: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年预算增加</w:t>
      </w:r>
      <w:r>
        <w:rPr>
          <w:rFonts w:hint="eastAsia" w:ascii="仿宋_GB2312" w:hAnsi="仿宋_GB2312" w:eastAsia="仿宋_GB2312" w:cs="仿宋_GB2312"/>
          <w:sz w:val="30"/>
          <w:szCs w:val="30"/>
        </w:rPr>
        <w:t>1845.00万元，增幅为16.14%</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部门预算收入情况说明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年，内蒙古广播电视大学部门预算收入</w:t>
      </w:r>
      <w:r>
        <w:rPr>
          <w:rFonts w:hint="eastAsia" w:ascii="仿宋_GB2312" w:hAnsi="仿宋_GB2312" w:eastAsia="仿宋_GB2312" w:cs="仿宋_GB2312"/>
          <w:sz w:val="30"/>
          <w:szCs w:val="30"/>
        </w:rPr>
        <w:t>13276.82</w:t>
      </w:r>
      <w:r>
        <w:rPr>
          <w:rFonts w:hint="eastAsia" w:ascii="仿宋_GB2312" w:hAnsi="仿宋_GB2312" w:eastAsia="仿宋_GB2312" w:cs="仿宋_GB2312"/>
          <w:kern w:val="2"/>
          <w:sz w:val="30"/>
          <w:szCs w:val="30"/>
        </w:rPr>
        <w:t>万元，其中：</w:t>
      </w:r>
      <w:r>
        <w:rPr>
          <w:rFonts w:hint="eastAsia" w:ascii="仿宋_GB2312" w:hAnsi="仿宋" w:eastAsia="仿宋_GB2312"/>
          <w:sz w:val="32"/>
          <w:szCs w:val="32"/>
        </w:rPr>
        <w:t>一般预算</w:t>
      </w:r>
      <w:r>
        <w:rPr>
          <w:rFonts w:hint="eastAsia" w:ascii="仿宋_GB2312" w:hAnsi="仿宋_GB2312" w:eastAsia="仿宋_GB2312" w:cs="仿宋_GB2312"/>
          <w:sz w:val="30"/>
          <w:szCs w:val="30"/>
        </w:rPr>
        <w:t>财政补助收入5776.82万元</w:t>
      </w:r>
      <w:r>
        <w:rPr>
          <w:rFonts w:hint="eastAsia" w:ascii="仿宋_GB2312" w:hAnsi="仿宋_GB2312" w:eastAsia="仿宋_GB2312" w:cs="仿宋_GB2312"/>
          <w:kern w:val="2"/>
          <w:sz w:val="30"/>
          <w:szCs w:val="30"/>
        </w:rPr>
        <w:t>，占比43.51</w:t>
      </w:r>
      <w:r>
        <w:rPr>
          <w:rFonts w:ascii="仿宋_GB2312" w:hAnsi="仿宋_GB2312" w:eastAsia="仿宋_GB2312" w:cs="仿宋_GB2312"/>
          <w:kern w:val="2"/>
          <w:sz w:val="30"/>
          <w:szCs w:val="30"/>
        </w:rPr>
        <w:t>%</w:t>
      </w:r>
      <w:r>
        <w:rPr>
          <w:rFonts w:hint="eastAsia" w:ascii="仿宋_GB2312" w:hAnsi="仿宋_GB2312" w:eastAsia="仿宋_GB2312" w:cs="仿宋_GB2312"/>
          <w:kern w:val="2"/>
          <w:sz w:val="30"/>
          <w:szCs w:val="30"/>
        </w:rPr>
        <w:t>；政府性基金预算拨款收入</w:t>
      </w:r>
      <w:r>
        <w:rPr>
          <w:rFonts w:ascii="仿宋_GB2312" w:hAnsi="仿宋_GB2312" w:eastAsia="仿宋_GB2312" w:cs="仿宋_GB2312"/>
          <w:kern w:val="2"/>
          <w:sz w:val="30"/>
          <w:szCs w:val="30"/>
        </w:rPr>
        <w:t>0</w:t>
      </w:r>
      <w:r>
        <w:rPr>
          <w:rFonts w:hint="eastAsia" w:ascii="仿宋_GB2312" w:hAnsi="仿宋_GB2312" w:eastAsia="仿宋_GB2312" w:cs="仿宋_GB2312"/>
          <w:kern w:val="2"/>
          <w:sz w:val="30"/>
          <w:szCs w:val="30"/>
        </w:rPr>
        <w:t>万元，占比</w:t>
      </w:r>
      <w:r>
        <w:rPr>
          <w:rFonts w:ascii="仿宋_GB2312" w:hAnsi="仿宋_GB2312" w:eastAsia="仿宋_GB2312" w:cs="仿宋_GB2312"/>
          <w:kern w:val="2"/>
          <w:sz w:val="30"/>
          <w:szCs w:val="30"/>
        </w:rPr>
        <w:t>0 %</w:t>
      </w:r>
      <w:r>
        <w:rPr>
          <w:rFonts w:hint="eastAsia" w:ascii="仿宋_GB2312" w:hAnsi="仿宋_GB2312" w:eastAsia="仿宋_GB2312" w:cs="仿宋_GB2312"/>
          <w:kern w:val="2"/>
          <w:sz w:val="30"/>
          <w:szCs w:val="30"/>
        </w:rPr>
        <w:t>；事业收入7</w:t>
      </w:r>
      <w:r>
        <w:rPr>
          <w:rFonts w:ascii="仿宋_GB2312" w:hAnsi="仿宋_GB2312" w:eastAsia="仿宋_GB2312" w:cs="仿宋_GB2312"/>
          <w:kern w:val="2"/>
          <w:sz w:val="30"/>
          <w:szCs w:val="30"/>
        </w:rPr>
        <w:t>500</w:t>
      </w:r>
      <w:r>
        <w:rPr>
          <w:rFonts w:hint="eastAsia" w:ascii="仿宋_GB2312" w:hAnsi="仿宋_GB2312" w:eastAsia="仿宋_GB2312" w:cs="仿宋_GB2312"/>
          <w:kern w:val="2"/>
          <w:sz w:val="30"/>
          <w:szCs w:val="30"/>
        </w:rPr>
        <w:t>万元，占比56.49</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部门预算支出情况说明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年，教育厅部门预算支出</w:t>
      </w:r>
      <w:r>
        <w:rPr>
          <w:rFonts w:hint="eastAsia" w:ascii="仿宋_GB2312" w:hAnsi="仿宋_GB2312" w:eastAsia="仿宋_GB2312" w:cs="仿宋_GB2312"/>
          <w:sz w:val="30"/>
          <w:szCs w:val="30"/>
        </w:rPr>
        <w:t>13276.82</w:t>
      </w:r>
      <w:r>
        <w:rPr>
          <w:rFonts w:hint="eastAsia" w:ascii="仿宋_GB2312" w:hAnsi="仿宋_GB2312" w:eastAsia="仿宋_GB2312" w:cs="仿宋_GB2312"/>
          <w:kern w:val="2"/>
          <w:sz w:val="30"/>
          <w:szCs w:val="30"/>
        </w:rPr>
        <w:t>万元，其中：基本支出</w:t>
      </w:r>
      <w:r>
        <w:rPr>
          <w:rFonts w:hint="eastAsia" w:ascii="仿宋_GB2312" w:hAnsi="仿宋_GB2312" w:eastAsia="仿宋_GB2312" w:cs="仿宋_GB2312"/>
          <w:sz w:val="30"/>
          <w:szCs w:val="30"/>
        </w:rPr>
        <w:t>5422.82</w:t>
      </w:r>
      <w:r>
        <w:rPr>
          <w:rFonts w:hint="eastAsia" w:ascii="仿宋_GB2312" w:hAnsi="仿宋_GB2312" w:eastAsia="仿宋_GB2312" w:cs="仿宋_GB2312"/>
          <w:kern w:val="2"/>
          <w:sz w:val="30"/>
          <w:szCs w:val="30"/>
        </w:rPr>
        <w:t>万元，占比40.84</w:t>
      </w:r>
      <w:r>
        <w:rPr>
          <w:rFonts w:ascii="仿宋_GB2312" w:hAnsi="仿宋_GB2312" w:eastAsia="仿宋_GB2312" w:cs="仿宋_GB2312"/>
          <w:kern w:val="2"/>
          <w:sz w:val="30"/>
          <w:szCs w:val="30"/>
        </w:rPr>
        <w:t>%</w:t>
      </w:r>
      <w:r>
        <w:rPr>
          <w:rFonts w:hint="eastAsia" w:ascii="仿宋_GB2312" w:hAnsi="仿宋_GB2312" w:eastAsia="仿宋_GB2312" w:cs="仿宋_GB2312"/>
          <w:kern w:val="2"/>
          <w:sz w:val="30"/>
          <w:szCs w:val="30"/>
        </w:rPr>
        <w:t>；项目支出</w:t>
      </w:r>
      <w:r>
        <w:rPr>
          <w:rFonts w:hint="eastAsia" w:ascii="仿宋_GB2312" w:hAnsi="仿宋_GB2312" w:eastAsia="仿宋_GB2312" w:cs="仿宋_GB2312"/>
          <w:sz w:val="30"/>
          <w:szCs w:val="30"/>
        </w:rPr>
        <w:t>7854</w:t>
      </w:r>
      <w:r>
        <w:rPr>
          <w:rFonts w:hint="eastAsia" w:ascii="仿宋_GB2312" w:hAnsi="仿宋_GB2312" w:eastAsia="仿宋_GB2312" w:cs="仿宋_GB2312"/>
          <w:kern w:val="2"/>
          <w:sz w:val="30"/>
          <w:szCs w:val="30"/>
        </w:rPr>
        <w:t>万元，占比59.16</w:t>
      </w:r>
      <w:r>
        <w:rPr>
          <w:rFonts w:ascii="仿宋_GB2312" w:hAnsi="仿宋_GB2312" w:eastAsia="仿宋_GB2312" w:cs="仿宋_GB2312"/>
          <w:kern w:val="2"/>
          <w:sz w:val="30"/>
          <w:szCs w:val="30"/>
        </w:rPr>
        <w:t>%</w:t>
      </w:r>
      <w:r>
        <w:rPr>
          <w:rFonts w:hint="eastAsia" w:ascii="仿宋_GB2312" w:hAnsi="仿宋_GB2312" w:eastAsia="仿宋_GB2312" w:cs="仿宋_GB2312"/>
          <w:kern w:val="2"/>
          <w:sz w:val="30"/>
          <w:szCs w:val="30"/>
        </w:rPr>
        <w:t>。</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基本支出主要用于预算单位人员经费和维持机构运转经费，项目支出主要用于支持高校教学科研工作、社区大学及老年大学建设、全区普通高校大学生创新创业人才培养、校园基本建设支出、现役军人及农名工学历教育、残疾人扫盲教育等。</w:t>
      </w:r>
    </w:p>
    <w:p>
      <w:pPr>
        <w:pStyle w:val="4"/>
        <w:spacing w:line="720" w:lineRule="atLeast"/>
        <w:ind w:firstLine="613" w:firstLineChars="227"/>
        <w:rPr>
          <w:rFonts w:ascii="微软雅黑" w:hAnsi="微软雅黑" w:eastAsia="微软雅黑"/>
          <w:color w:val="000000"/>
          <w:sz w:val="23"/>
          <w:szCs w:val="23"/>
        </w:rPr>
      </w:pPr>
      <w:r>
        <w:rPr>
          <w:rStyle w:val="7"/>
          <w:rFonts w:hint="eastAsia" w:ascii="微软雅黑" w:hAnsi="微软雅黑" w:eastAsia="微软雅黑" w:cs="宋体"/>
          <w:color w:val="000000"/>
          <w:sz w:val="27"/>
          <w:szCs w:val="27"/>
        </w:rPr>
        <w:t>（二）一般公共预算财政拨款收支情况说明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财政拨款规模情况</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年，内蒙古广播电视大学部门财政拨款收支预算</w:t>
      </w:r>
      <w:r>
        <w:rPr>
          <w:rFonts w:hint="eastAsia" w:ascii="仿宋_GB2312" w:hAnsi="仿宋_GB2312" w:eastAsia="仿宋_GB2312" w:cs="仿宋_GB2312"/>
          <w:sz w:val="30"/>
          <w:szCs w:val="30"/>
        </w:rPr>
        <w:t>5776.82</w:t>
      </w:r>
      <w:r>
        <w:rPr>
          <w:rFonts w:hint="eastAsia" w:ascii="仿宋_GB2312" w:hAnsi="仿宋_GB2312" w:eastAsia="仿宋_GB2312" w:cs="仿宋_GB2312"/>
          <w:kern w:val="2"/>
          <w:sz w:val="30"/>
          <w:szCs w:val="30"/>
        </w:rPr>
        <w:t>万元，无政府性基金预算财政拨款及上年结转。</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一般公共预算财政拨款具体使用安排情况</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）社会保障和就业支出类</w:t>
      </w: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57.71万元，比上年预算数减少16.91万元。主要用于发放养老金及职业年金等。</w:t>
      </w:r>
    </w:p>
    <w:p>
      <w:pPr>
        <w:pStyle w:val="4"/>
        <w:spacing w:line="720" w:lineRule="atLeast"/>
        <w:ind w:firstLine="480" w:firstLineChars="16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教育支出类5619.11万元，比上年预算数减少133.87万元。主要用于人员工资、基本养老保险、职业年金、基本医疗保险、公务员医疗补助缴费、职工基本医疗保险、保障教学科研工作正常开展、学生奖助学金发放、城乡社区大学运行、老年大学运行、开展各级各类教师培训、教育信息化建设和运行维护等。</w:t>
      </w:r>
    </w:p>
    <w:p>
      <w:pPr>
        <w:pStyle w:val="4"/>
        <w:spacing w:line="720" w:lineRule="atLeast"/>
        <w:ind w:firstLine="613" w:firstLineChars="227"/>
        <w:rPr>
          <w:rFonts w:ascii="微软雅黑" w:hAnsi="微软雅黑" w:eastAsia="微软雅黑"/>
          <w:color w:val="000000"/>
          <w:sz w:val="23"/>
          <w:szCs w:val="23"/>
        </w:rPr>
      </w:pPr>
      <w:r>
        <w:rPr>
          <w:rStyle w:val="7"/>
          <w:rFonts w:hint="eastAsia" w:ascii="微软雅黑" w:hAnsi="微软雅黑" w:eastAsia="微软雅黑" w:cs="宋体"/>
          <w:color w:val="000000"/>
          <w:sz w:val="27"/>
          <w:szCs w:val="27"/>
        </w:rPr>
        <w:t>（三）政府性基金预算财政拨款支出情况说明</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无政府性基金财政拨款</w:t>
      </w:r>
    </w:p>
    <w:p>
      <w:pPr>
        <w:pStyle w:val="4"/>
        <w:spacing w:line="720" w:lineRule="atLeast"/>
        <w:ind w:firstLine="613" w:firstLineChars="227"/>
        <w:rPr>
          <w:rFonts w:ascii="微软雅黑" w:hAnsi="微软雅黑" w:eastAsia="微软雅黑"/>
          <w:color w:val="000000"/>
          <w:sz w:val="23"/>
          <w:szCs w:val="23"/>
        </w:rPr>
      </w:pPr>
      <w:r>
        <w:rPr>
          <w:rStyle w:val="7"/>
          <w:rFonts w:hint="eastAsia" w:ascii="微软雅黑" w:hAnsi="微软雅黑" w:eastAsia="微软雅黑" w:cs="宋体"/>
          <w:color w:val="000000"/>
          <w:sz w:val="27"/>
          <w:szCs w:val="27"/>
        </w:rPr>
        <w:t>（四）财政拨款“三公”经费预算情况说明</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年，内蒙古广播电视大学部门财政拨款“三公”经费支出预算</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万元，与上年持平。其中：</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、无财政拨款因公出国（境）费用预算。</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、无财政拨款公务接待费预算。</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、公务用车购置及运行维护费预算</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万元，与2019年执行数持平，全部为公车维修运行费用。</w:t>
      </w:r>
      <w:r>
        <w:rPr>
          <w:rFonts w:ascii="仿宋_GB2312" w:hAnsi="仿宋_GB2312" w:eastAsia="仿宋_GB2312" w:cs="仿宋_GB2312"/>
          <w:kern w:val="2"/>
          <w:sz w:val="30"/>
          <w:szCs w:val="30"/>
        </w:rPr>
        <w:t xml:space="preserve"> </w:t>
      </w:r>
    </w:p>
    <w:p>
      <w:pPr>
        <w:pStyle w:val="4"/>
        <w:spacing w:line="720" w:lineRule="atLeast"/>
        <w:ind w:firstLine="480"/>
        <w:jc w:val="center"/>
        <w:rPr>
          <w:rFonts w:ascii="微软雅黑" w:hAnsi="微软雅黑" w:eastAsia="微软雅黑"/>
          <w:color w:val="000000"/>
          <w:sz w:val="23"/>
          <w:szCs w:val="23"/>
        </w:rPr>
      </w:pPr>
      <w:r>
        <w:rPr>
          <w:rStyle w:val="7"/>
          <w:rFonts w:ascii="微软雅黑" w:hAnsi="微软雅黑" w:eastAsia="微软雅黑" w:cs="宋体"/>
          <w:color w:val="000000"/>
          <w:sz w:val="30"/>
          <w:szCs w:val="30"/>
        </w:rPr>
        <w:br w:type="page"/>
      </w:r>
      <w:r>
        <w:rPr>
          <w:rStyle w:val="7"/>
          <w:rFonts w:hint="eastAsia" w:ascii="微软雅黑" w:hAnsi="微软雅黑" w:eastAsia="微软雅黑" w:cs="宋体"/>
          <w:color w:val="000000"/>
          <w:sz w:val="30"/>
          <w:szCs w:val="30"/>
        </w:rPr>
        <w:t>三、其他公开事项说明</w:t>
      </w:r>
    </w:p>
    <w:p>
      <w:pPr>
        <w:pStyle w:val="4"/>
        <w:spacing w:line="720" w:lineRule="atLeast"/>
        <w:ind w:firstLine="613" w:firstLineChars="227"/>
        <w:rPr>
          <w:rStyle w:val="7"/>
          <w:rFonts w:ascii="微软雅黑" w:hAnsi="微软雅黑" w:eastAsia="微软雅黑" w:cs="宋体"/>
          <w:color w:val="000000"/>
          <w:sz w:val="27"/>
          <w:szCs w:val="27"/>
        </w:rPr>
      </w:pPr>
      <w:r>
        <w:rPr>
          <w:rStyle w:val="7"/>
          <w:rFonts w:hint="eastAsia" w:ascii="微软雅黑" w:hAnsi="微软雅黑" w:eastAsia="微软雅黑" w:cs="宋体"/>
          <w:color w:val="000000"/>
          <w:sz w:val="27"/>
          <w:szCs w:val="27"/>
        </w:rPr>
        <w:t>（一）政府采购预算情况说明</w:t>
      </w:r>
    </w:p>
    <w:p>
      <w:pPr>
        <w:pStyle w:val="4"/>
        <w:spacing w:line="720" w:lineRule="atLeast"/>
        <w:ind w:firstLine="681" w:firstLineChars="227"/>
        <w:rPr>
          <w:rFonts w:ascii="微软雅黑" w:hAnsi="微软雅黑" w:eastAsia="微软雅黑"/>
          <w:b/>
          <w:bCs/>
          <w:color w:val="000000"/>
          <w:sz w:val="27"/>
          <w:szCs w:val="27"/>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年，教育厅部门政府采购预算总额2003万元，其中：政府采购货物预算733</w:t>
      </w:r>
      <w:r>
        <w:rPr>
          <w:rFonts w:ascii="仿宋_GB2312" w:hAnsi="仿宋_GB2312" w:eastAsia="仿宋_GB2312" w:cs="仿宋_GB2312"/>
          <w:kern w:val="2"/>
          <w:sz w:val="30"/>
          <w:szCs w:val="30"/>
        </w:rPr>
        <w:t>.00</w:t>
      </w:r>
      <w:r>
        <w:rPr>
          <w:rFonts w:hint="eastAsia" w:ascii="仿宋_GB2312" w:hAnsi="仿宋_GB2312" w:eastAsia="仿宋_GB2312" w:cs="仿宋_GB2312"/>
          <w:kern w:val="2"/>
          <w:sz w:val="30"/>
          <w:szCs w:val="30"/>
        </w:rPr>
        <w:t>万元，政府采购工程预算512.00万元，政府采购服务预算758</w:t>
      </w:r>
      <w:r>
        <w:rPr>
          <w:rFonts w:ascii="仿宋_GB2312" w:hAnsi="仿宋_GB2312" w:eastAsia="仿宋_GB2312" w:cs="仿宋_GB2312"/>
          <w:kern w:val="2"/>
          <w:sz w:val="30"/>
          <w:szCs w:val="30"/>
        </w:rPr>
        <w:t>.00</w:t>
      </w:r>
      <w:r>
        <w:rPr>
          <w:rFonts w:hint="eastAsia" w:ascii="仿宋_GB2312" w:hAnsi="仿宋_GB2312" w:eastAsia="仿宋_GB2312" w:cs="仿宋_GB2312"/>
          <w:kern w:val="2"/>
          <w:sz w:val="30"/>
          <w:szCs w:val="30"/>
        </w:rPr>
        <w:t>万元。</w:t>
      </w:r>
    </w:p>
    <w:p>
      <w:pPr>
        <w:pStyle w:val="4"/>
        <w:spacing w:line="720" w:lineRule="atLeast"/>
        <w:ind w:firstLine="613" w:firstLineChars="227"/>
        <w:rPr>
          <w:rStyle w:val="7"/>
          <w:rFonts w:ascii="微软雅黑" w:hAnsi="微软雅黑" w:eastAsia="微软雅黑" w:cs="宋体"/>
          <w:color w:val="000000"/>
          <w:sz w:val="27"/>
          <w:szCs w:val="27"/>
        </w:rPr>
      </w:pPr>
      <w:r>
        <w:rPr>
          <w:rStyle w:val="7"/>
          <w:rFonts w:hint="eastAsia" w:ascii="微软雅黑" w:hAnsi="微软雅黑" w:eastAsia="微软雅黑" w:cs="宋体"/>
          <w:color w:val="000000"/>
          <w:sz w:val="27"/>
          <w:szCs w:val="27"/>
        </w:rPr>
        <w:t>（二）绩效目标设置情况</w:t>
      </w:r>
    </w:p>
    <w:p>
      <w:pPr>
        <w:pStyle w:val="4"/>
        <w:spacing w:line="720" w:lineRule="atLeast"/>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根据</w:t>
      </w: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年部门预算编制要求，对重点项目预算的绩效目标进行公开：</w:t>
      </w:r>
    </w:p>
    <w:p>
      <w:pPr>
        <w:pStyle w:val="4"/>
        <w:tabs>
          <w:tab w:val="left" w:pos="312"/>
        </w:tabs>
        <w:spacing w:line="720" w:lineRule="atLeast"/>
        <w:ind w:left="483" w:leftChars="230" w:firstLine="150" w:firstLineChars="5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、定项补助：</w:t>
      </w:r>
    </w:p>
    <w:p>
      <w:pPr>
        <w:pStyle w:val="4"/>
        <w:spacing w:line="720" w:lineRule="atLeas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重点推进内蒙古开放大学综合改革，从教学管理、教师发展、办学体系建设等方面入手，深化改革，加快开放大学建设步伐；同时，大力发展非学历继续教育，稳步发展学历继续教育，积极开展社区教育、老年教育、特殊教育等工作，推进现代化科技与教育的深度融合，搭建终身教育学习“立交桥”。</w:t>
      </w:r>
    </w:p>
    <w:p>
      <w:pPr>
        <w:pStyle w:val="4"/>
        <w:spacing w:line="720" w:lineRule="atLeast"/>
        <w:ind w:firstLine="600" w:firstLineChars="20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rPr>
        <w:t xml:space="preserve"> </w:t>
      </w:r>
      <w:r>
        <w:rPr>
          <w:rFonts w:hint="eastAsia" w:ascii="仿宋_GB2312" w:hAnsi="仿宋_GB2312" w:eastAsia="仿宋_GB2312" w:cs="仿宋_GB2312"/>
          <w:kern w:val="2"/>
          <w:sz w:val="30"/>
          <w:szCs w:val="30"/>
        </w:rPr>
        <w:t>城乡社区教育发展公益项目：</w:t>
      </w:r>
    </w:p>
    <w:p>
      <w:pPr>
        <w:pStyle w:val="4"/>
        <w:spacing w:line="720" w:lineRule="atLeas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通过积极开展体系建设、理论研究、信息和咨询服务、人员培训、品牌项目等工作，基本建成体制健全、机制灵活、运转有序、覆盖全区、规模宏大、基于网络的内蒙古城乡社区大学，承担起内蒙古终身教育的重要组成部分，逐步成为学习型社会建设的重要抓手。</w:t>
      </w:r>
    </w:p>
    <w:p>
      <w:pPr>
        <w:pStyle w:val="4"/>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3.</w:t>
      </w:r>
      <w:r>
        <w:rPr>
          <w:rFonts w:hint="eastAsia"/>
        </w:rPr>
        <w:t xml:space="preserve"> </w:t>
      </w:r>
      <w:r>
        <w:rPr>
          <w:rFonts w:hint="eastAsia" w:ascii="仿宋_GB2312" w:hAnsi="仿宋_GB2312" w:eastAsia="仿宋_GB2312" w:cs="仿宋_GB2312"/>
          <w:kern w:val="2"/>
          <w:sz w:val="30"/>
          <w:szCs w:val="30"/>
        </w:rPr>
        <w:t>老年开放教育发展公益项目</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目标：有效扩大远程老年教育覆盖面，提升老年人健康养老、幸福养老和积极养老水平推动自治区终身教育体系和学习型社会建设，促进社会和谐与稳定发展。</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w:t>
      </w:r>
      <w:r>
        <w:rPr>
          <w:rFonts w:ascii="仿宋_GB2312" w:hAnsi="仿宋_GB2312" w:eastAsia="仿宋_GB2312" w:cs="仿宋_GB2312"/>
          <w:kern w:val="2"/>
          <w:sz w:val="30"/>
          <w:szCs w:val="30"/>
        </w:rPr>
        <w:t>.</w:t>
      </w:r>
      <w:r>
        <w:rPr>
          <w:rFonts w:hint="eastAsia"/>
        </w:rPr>
        <w:t xml:space="preserve"> </w:t>
      </w:r>
      <w:r>
        <w:rPr>
          <w:rFonts w:hint="eastAsia" w:ascii="仿宋_GB2312" w:hAnsi="仿宋_GB2312" w:eastAsia="仿宋_GB2312" w:cs="仿宋_GB2312"/>
          <w:kern w:val="2"/>
          <w:sz w:val="30"/>
          <w:szCs w:val="30"/>
        </w:rPr>
        <w:t>高等院校质量与教学改革项目</w:t>
      </w:r>
    </w:p>
    <w:p>
      <w:pPr>
        <w:pStyle w:val="4"/>
        <w:spacing w:line="720" w:lineRule="atLeast"/>
        <w:ind w:firstLine="630" w:firstLineChars="21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目标：提高地方高校办学质量和水平，支持科技创新能力提升和人才团队建设，加强高校思想政治建设，促进教育教学改革发展。</w:t>
      </w:r>
    </w:p>
    <w:p>
      <w:pPr>
        <w:pStyle w:val="4"/>
        <w:spacing w:line="720" w:lineRule="atLeast"/>
        <w:ind w:firstLine="480"/>
        <w:jc w:val="center"/>
        <w:rPr>
          <w:rFonts w:hint="eastAsia" w:ascii="微软雅黑" w:hAnsi="微软雅黑" w:eastAsia="微软雅黑" w:cs="微软雅黑"/>
          <w:b/>
          <w:bCs/>
          <w:color w:val="000000"/>
          <w:sz w:val="32"/>
          <w:szCs w:val="32"/>
        </w:rPr>
      </w:pPr>
      <w:r>
        <w:rPr>
          <w:rStyle w:val="7"/>
          <w:rFonts w:hint="eastAsia" w:ascii="微软雅黑" w:hAnsi="微软雅黑" w:eastAsia="微软雅黑" w:cs="微软雅黑"/>
          <w:b/>
          <w:bCs/>
          <w:color w:val="000000"/>
          <w:sz w:val="32"/>
          <w:szCs w:val="32"/>
        </w:rPr>
        <w:t>四、名词解释</w:t>
      </w:r>
    </w:p>
    <w:p>
      <w:pPr>
        <w:pStyle w:val="4"/>
        <w:spacing w:line="720" w:lineRule="atLeast"/>
        <w:ind w:firstLine="450" w:firstLineChars="15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（一）一般公共预算财政拨款收入：是指自治区财政当年拨付的资金。</w:t>
      </w:r>
    </w:p>
    <w:p>
      <w:pPr>
        <w:pStyle w:val="4"/>
        <w:spacing w:line="720" w:lineRule="atLeast"/>
        <w:ind w:firstLine="450" w:firstLineChars="15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（二）事业收入：是指事业单位开展专业业务活动及辅助活动所取得的收入。</w:t>
      </w:r>
    </w:p>
    <w:p>
      <w:pPr>
        <w:pStyle w:val="4"/>
        <w:spacing w:line="720" w:lineRule="atLeast"/>
        <w:ind w:firstLine="480" w:firstLineChars="16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（三）事业单位经营收入：是指事业单位在专业业务活动及其辅助活动之外开展非独立核算经营活动取得的收入。</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（四）其他收入</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：是指除上述“一般公共预算财政拨款收入”、“事业收入”、“事业单位经营收入”等以外的收入。主要是指按规定动用的售房收入、存款利息收入等。</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（五）用事业基金弥补收支差额：是指事业单位在预计用当年的“一般公共预算财政拨款收入”、“财政拨款结转和结余资金”、“事业收入”</w:t>
      </w: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、“事业单位经营收入”、“其他收入”不足以安排当年支出的情况下，使用以前年度积累的事业基金（事业单位当年收支相抵后按国家规定提取、用于弥补以后年度收支差额的基金）弥补本年收支缺口的资金。</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（六）上年结转：是指以前年度尚未完成、结转到本年仍按原规定用途继续使用的资金。</w:t>
      </w:r>
    </w:p>
    <w:p>
      <w:pPr>
        <w:pStyle w:val="4"/>
        <w:spacing w:line="720" w:lineRule="atLeast"/>
        <w:ind w:firstLine="48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（七）基本支出：是指为保障机构正常运转，完成日常工作任务而发生的人员支出和共用支出。</w:t>
      </w:r>
    </w:p>
    <w:p>
      <w:pPr>
        <w:pStyle w:val="4"/>
        <w:spacing w:line="720" w:lineRule="atLeast"/>
        <w:ind w:firstLine="48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（八）项目支出：是指基本支出之外，为完成特定行政任务和事业发展目标所发生的支出。</w:t>
      </w:r>
    </w:p>
    <w:p>
      <w:pPr>
        <w:pStyle w:val="4"/>
        <w:spacing w:line="720" w:lineRule="atLeast"/>
        <w:ind w:firstLine="480"/>
        <w:rPr>
          <w:rFonts w:hint="eastAsia" w:ascii="仿宋" w:hAnsi="仿宋" w:eastAsia="仿宋" w:cs="仿宋"/>
          <w:sz w:val="32"/>
          <w:szCs w:val="32"/>
        </w:rPr>
      </w:pPr>
      <w:r>
        <w:rPr>
          <w:rFonts w:hint="eastAsia" w:ascii="仿宋_GB2312" w:hAnsi="仿宋_GB2312" w:eastAsia="仿宋_GB2312" w:cs="仿宋_GB2312"/>
          <w:kern w:val="2"/>
          <w:sz w:val="30"/>
          <w:szCs w:val="30"/>
        </w:rPr>
        <w:t>（九</w:t>
      </w:r>
      <w:r>
        <w:rPr>
          <w:rFonts w:hint="eastAsia" w:ascii="仿宋_GB2312" w:hAnsi="仿宋_GB2312" w:eastAsia="仿宋_GB2312" w:cs="仿宋_GB2312"/>
          <w:kern w:val="2"/>
          <w:sz w:val="30"/>
          <w:szCs w:val="30"/>
          <w:lang w:eastAsia="zh-CN"/>
        </w:rPr>
        <w:t>）</w:t>
      </w:r>
      <w:r>
        <w:rPr>
          <w:rFonts w:hint="eastAsia" w:ascii="仿宋" w:hAnsi="仿宋" w:eastAsia="仿宋" w:cs="仿宋"/>
          <w:sz w:val="32"/>
          <w:szCs w:val="32"/>
        </w:rPr>
        <w:t>“三公”经费：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pStyle w:val="4"/>
        <w:spacing w:line="720" w:lineRule="atLeast"/>
        <w:ind w:firstLine="480"/>
        <w:rPr>
          <w:rFonts w:hint="eastAsia" w:ascii="仿宋" w:hAnsi="仿宋" w:eastAsia="仿宋" w:cs="仿宋"/>
          <w:sz w:val="32"/>
          <w:szCs w:val="32"/>
        </w:rPr>
      </w:pPr>
      <w:r>
        <w:rPr>
          <w:rFonts w:hint="eastAsia" w:ascii="仿宋_GB2312" w:hAnsi="仿宋_GB2312" w:eastAsia="仿宋_GB2312" w:cs="仿宋_GB2312"/>
          <w:kern w:val="2"/>
          <w:sz w:val="30"/>
          <w:szCs w:val="30"/>
        </w:rPr>
        <w:t>（</w:t>
      </w:r>
      <w:r>
        <w:rPr>
          <w:rFonts w:hint="eastAsia" w:ascii="仿宋" w:hAnsi="仿宋" w:eastAsia="仿宋" w:cs="仿宋"/>
          <w:sz w:val="32"/>
          <w:szCs w:val="32"/>
        </w:rPr>
        <w:t>十</w:t>
      </w:r>
      <w:r>
        <w:rPr>
          <w:rFonts w:hint="eastAsia" w:ascii="仿宋" w:hAnsi="仿宋" w:eastAsia="仿宋" w:cs="仿宋"/>
          <w:sz w:val="32"/>
          <w:szCs w:val="32"/>
          <w:lang w:val="en-US" w:eastAsia="zh-CN"/>
        </w:rPr>
        <w:t>)</w:t>
      </w:r>
      <w:r>
        <w:rPr>
          <w:rFonts w:hint="eastAsia" w:ascii="仿宋" w:hAnsi="仿宋" w:eastAsia="仿宋" w:cs="仿宋"/>
          <w:sz w:val="32"/>
          <w:szCs w:val="32"/>
        </w:rPr>
        <w:t>工资福利支出（支出经济分类科目类级）：反映单位开支的在职职工和编制外长期聘用人员的各类活动报酬，以及为上述人员缴纳的各项社会保险费等。</w:t>
      </w:r>
    </w:p>
    <w:p>
      <w:pPr>
        <w:pStyle w:val="4"/>
        <w:spacing w:line="720" w:lineRule="atLeast"/>
        <w:ind w:firstLine="480"/>
        <w:rPr>
          <w:rFonts w:hint="eastAsia" w:ascii="仿宋" w:hAnsi="仿宋" w:eastAsia="仿宋" w:cs="仿宋"/>
          <w:sz w:val="32"/>
          <w:szCs w:val="32"/>
        </w:rPr>
      </w:pPr>
      <w:r>
        <w:rPr>
          <w:rFonts w:hint="eastAsia" w:ascii="仿宋_GB2312" w:hAnsi="仿宋_GB2312" w:eastAsia="仿宋_GB2312" w:cs="仿宋_GB2312"/>
          <w:kern w:val="2"/>
          <w:sz w:val="30"/>
          <w:szCs w:val="30"/>
        </w:rPr>
        <w:t>（</w:t>
      </w: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商品和服务支出（支出经济分类科目类级）：反映单位购买商品和服务的支出（不包括用于购置固定资产的支出、战略性和应急储备支出）。</w:t>
      </w:r>
    </w:p>
    <w:p>
      <w:pPr>
        <w:snapToGrid w:val="0"/>
        <w:spacing w:line="560" w:lineRule="exact"/>
        <w:jc w:val="center"/>
        <w:rPr>
          <w:rFonts w:hint="eastAsia" w:ascii="楷体_GB2312" w:hAnsi="黑体" w:eastAsia="楷体_GB2312"/>
          <w:b/>
          <w:color w:val="000000"/>
          <w:sz w:val="36"/>
          <w:szCs w:val="36"/>
        </w:rPr>
      </w:pPr>
    </w:p>
    <w:p>
      <w:pPr>
        <w:snapToGrid w:val="0"/>
        <w:spacing w:line="560" w:lineRule="exact"/>
        <w:jc w:val="center"/>
        <w:rPr>
          <w:rFonts w:hint="eastAsia" w:ascii="微软雅黑" w:hAnsi="微软雅黑" w:eastAsia="微软雅黑" w:cs="微软雅黑"/>
          <w:b/>
          <w:bCs w:val="0"/>
          <w:color w:val="000000"/>
          <w:sz w:val="32"/>
          <w:szCs w:val="32"/>
        </w:rPr>
      </w:pPr>
      <w:r>
        <w:rPr>
          <w:rFonts w:hint="eastAsia" w:ascii="微软雅黑" w:hAnsi="微软雅黑" w:eastAsia="微软雅黑" w:cs="微软雅黑"/>
          <w:b/>
          <w:bCs w:val="0"/>
          <w:color w:val="000000"/>
          <w:sz w:val="32"/>
          <w:szCs w:val="32"/>
        </w:rPr>
        <w:t>第五部分  预算公开联系方式及信息反馈渠道</w:t>
      </w:r>
    </w:p>
    <w:p>
      <w:pPr>
        <w:snapToGrid w:val="0"/>
        <w:spacing w:line="560" w:lineRule="exact"/>
        <w:jc w:val="center"/>
        <w:rPr>
          <w:rFonts w:hint="eastAsia" w:ascii="楷体_GB2312" w:hAnsi="黑体" w:eastAsia="楷体_GB2312"/>
          <w:b/>
          <w:color w:val="000000"/>
          <w:sz w:val="36"/>
          <w:szCs w:val="36"/>
        </w:rPr>
      </w:pPr>
    </w:p>
    <w:p>
      <w:pPr>
        <w:snapToGrid w:val="0"/>
        <w:spacing w:line="56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张雅楠</w:t>
      </w:r>
      <w:r>
        <w:rPr>
          <w:rFonts w:hint="eastAsia" w:ascii="仿宋_GB2312" w:hAnsi="黑体" w:eastAsia="仿宋_GB2312"/>
          <w:color w:val="000000"/>
          <w:sz w:val="32"/>
          <w:szCs w:val="32"/>
        </w:rPr>
        <w:t xml:space="preserve">        联系电话：0471-</w:t>
      </w:r>
      <w:r>
        <w:rPr>
          <w:rFonts w:hint="eastAsia" w:ascii="仿宋_GB2312" w:hAnsi="黑体" w:eastAsia="仿宋_GB2312"/>
          <w:color w:val="000000"/>
          <w:sz w:val="32"/>
          <w:szCs w:val="32"/>
          <w:lang w:val="en-US" w:eastAsia="zh-CN"/>
        </w:rPr>
        <w:t>4601413</w:t>
      </w:r>
    </w:p>
    <w:p>
      <w:pPr>
        <w:snapToGrid w:val="0"/>
        <w:spacing w:line="560" w:lineRule="exact"/>
        <w:jc w:val="center"/>
        <w:rPr>
          <w:rFonts w:hint="eastAsia" w:ascii="楷体_GB2312" w:hAnsi="黑体" w:eastAsia="楷体_GB2312"/>
          <w:b/>
          <w:color w:val="000000"/>
          <w:sz w:val="36"/>
          <w:szCs w:val="36"/>
        </w:rPr>
      </w:pPr>
    </w:p>
    <w:p>
      <w:pPr>
        <w:pStyle w:val="4"/>
        <w:spacing w:line="720" w:lineRule="atLeast"/>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0000000000000000000"/>
    <w:charset w:val="86"/>
    <w:family w:val="roma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00C8D"/>
    <w:multiLevelType w:val="singleLevel"/>
    <w:tmpl w:val="96200C8D"/>
    <w:lvl w:ilvl="0" w:tentative="0">
      <w:start w:val="1"/>
      <w:numFmt w:val="decimal"/>
      <w:suff w:val="nothing"/>
      <w:lvlText w:val="（%1）"/>
      <w:lvlJc w:val="left"/>
      <w:rPr>
        <w:rFonts w:cs="Times New Roman"/>
      </w:rPr>
    </w:lvl>
  </w:abstractNum>
  <w:abstractNum w:abstractNumId="1">
    <w:nsid w:val="5C78E9A4"/>
    <w:multiLevelType w:val="singleLevel"/>
    <w:tmpl w:val="5C78E9A4"/>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23F"/>
    <w:rsid w:val="00032470"/>
    <w:rsid w:val="0003326A"/>
    <w:rsid w:val="00067263"/>
    <w:rsid w:val="00093819"/>
    <w:rsid w:val="000F023F"/>
    <w:rsid w:val="000F5D5D"/>
    <w:rsid w:val="00120419"/>
    <w:rsid w:val="001439BC"/>
    <w:rsid w:val="0014499F"/>
    <w:rsid w:val="00161845"/>
    <w:rsid w:val="00161955"/>
    <w:rsid w:val="00165CEA"/>
    <w:rsid w:val="001E1295"/>
    <w:rsid w:val="001E5701"/>
    <w:rsid w:val="00206A2B"/>
    <w:rsid w:val="00263E20"/>
    <w:rsid w:val="002D30A1"/>
    <w:rsid w:val="00354BE7"/>
    <w:rsid w:val="003736EB"/>
    <w:rsid w:val="0039206D"/>
    <w:rsid w:val="003B1E64"/>
    <w:rsid w:val="003C2861"/>
    <w:rsid w:val="0043757B"/>
    <w:rsid w:val="00495462"/>
    <w:rsid w:val="00513543"/>
    <w:rsid w:val="00541837"/>
    <w:rsid w:val="005E0F26"/>
    <w:rsid w:val="005F3EB1"/>
    <w:rsid w:val="006017C6"/>
    <w:rsid w:val="00605429"/>
    <w:rsid w:val="0065601B"/>
    <w:rsid w:val="0066319F"/>
    <w:rsid w:val="0066416E"/>
    <w:rsid w:val="00677C58"/>
    <w:rsid w:val="006C0FF4"/>
    <w:rsid w:val="00720072"/>
    <w:rsid w:val="0072238D"/>
    <w:rsid w:val="00752278"/>
    <w:rsid w:val="00765F91"/>
    <w:rsid w:val="007B6944"/>
    <w:rsid w:val="007C50EA"/>
    <w:rsid w:val="008449A1"/>
    <w:rsid w:val="008A6714"/>
    <w:rsid w:val="009864EA"/>
    <w:rsid w:val="00986B80"/>
    <w:rsid w:val="009B6E9D"/>
    <w:rsid w:val="009B7031"/>
    <w:rsid w:val="009C0852"/>
    <w:rsid w:val="009D00C7"/>
    <w:rsid w:val="009D00EC"/>
    <w:rsid w:val="009F50B5"/>
    <w:rsid w:val="00A77B7A"/>
    <w:rsid w:val="00A858A0"/>
    <w:rsid w:val="00AE5CA8"/>
    <w:rsid w:val="00B342FC"/>
    <w:rsid w:val="00B55FD2"/>
    <w:rsid w:val="00BF1330"/>
    <w:rsid w:val="00C7512C"/>
    <w:rsid w:val="00C8089B"/>
    <w:rsid w:val="00CC01CC"/>
    <w:rsid w:val="00CC0AB9"/>
    <w:rsid w:val="00CF5846"/>
    <w:rsid w:val="00D172CF"/>
    <w:rsid w:val="00DC4B1E"/>
    <w:rsid w:val="00E11CDA"/>
    <w:rsid w:val="00E50375"/>
    <w:rsid w:val="00E553C9"/>
    <w:rsid w:val="00E622B3"/>
    <w:rsid w:val="00E9550D"/>
    <w:rsid w:val="00EE05AD"/>
    <w:rsid w:val="00F331AE"/>
    <w:rsid w:val="00F37F35"/>
    <w:rsid w:val="00FA2332"/>
    <w:rsid w:val="00FA6EAE"/>
    <w:rsid w:val="00FC699D"/>
    <w:rsid w:val="00FD6086"/>
    <w:rsid w:val="00FE6B31"/>
    <w:rsid w:val="07D83963"/>
    <w:rsid w:val="16D071E6"/>
    <w:rsid w:val="1A9A6B1E"/>
    <w:rsid w:val="261E4B1C"/>
    <w:rsid w:val="2C4C4816"/>
    <w:rsid w:val="3FEE6815"/>
    <w:rsid w:val="41514DEA"/>
    <w:rsid w:val="453225E5"/>
    <w:rsid w:val="46D22E95"/>
    <w:rsid w:val="50934C03"/>
    <w:rsid w:val="7E0310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页脚 Char"/>
    <w:basedOn w:val="6"/>
    <w:link w:val="2"/>
    <w:semiHidden/>
    <w:qFormat/>
    <w:locked/>
    <w:uiPriority w:val="99"/>
    <w:rPr>
      <w:rFonts w:ascii="Calibri" w:hAnsi="Calibri" w:eastAsia="宋体" w:cs="Times New Roman"/>
      <w:kern w:val="2"/>
      <w:sz w:val="18"/>
      <w:szCs w:val="18"/>
    </w:rPr>
  </w:style>
  <w:style w:type="character" w:customStyle="1" w:styleId="9">
    <w:name w:val="页眉 Char"/>
    <w:basedOn w:val="6"/>
    <w:link w:val="3"/>
    <w:semiHidden/>
    <w:locked/>
    <w:uiPriority w:val="99"/>
    <w:rPr>
      <w:rFonts w:ascii="Calibri" w:hAnsi="Calibri" w:eastAsia="宋体" w:cs="Times New Roman"/>
      <w:kern w:val="2"/>
      <w:sz w:val="18"/>
      <w:szCs w:val="18"/>
    </w:r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470</Words>
  <Characters>2683</Characters>
  <Lines>22</Lines>
  <Paragraphs>6</Paragraphs>
  <TotalTime>7</TotalTime>
  <ScaleCrop>false</ScaleCrop>
  <LinksUpToDate>false</LinksUpToDate>
  <CharactersWithSpaces>3147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2019-03-11T07:51:00Z</dcterms:created>
  <dc:creator>呼市招标办</dc:creator>
  <cp:lastModifiedBy>dd</cp:lastModifiedBy>
  <cp:lastPrinted>2019-03-11T08:40:00Z</cp:lastPrinted>
  <dcterms:modified xsi:type="dcterms:W3CDTF">2020-02-09T02:33:02Z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